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B1" w:rsidRPr="006E60B1" w:rsidRDefault="006E60B1" w:rsidP="006E60B1">
      <w:pPr>
        <w:spacing w:after="0" w:line="240" w:lineRule="auto"/>
        <w:jc w:val="center"/>
        <w:rPr>
          <w:sz w:val="18"/>
          <w:szCs w:val="18"/>
        </w:rPr>
      </w:pPr>
      <w:r w:rsidRPr="006E60B1">
        <w:rPr>
          <w:sz w:val="18"/>
          <w:szCs w:val="18"/>
        </w:rPr>
        <w:t xml:space="preserve">UNIVERSIDADE FEDERAL DE SANTA CATARINA </w:t>
      </w:r>
    </w:p>
    <w:p w:rsidR="006E60B1" w:rsidRPr="006E60B1" w:rsidRDefault="006E60B1" w:rsidP="006E60B1">
      <w:pPr>
        <w:spacing w:after="0" w:line="240" w:lineRule="auto"/>
        <w:jc w:val="center"/>
        <w:rPr>
          <w:sz w:val="18"/>
          <w:szCs w:val="18"/>
        </w:rPr>
      </w:pPr>
      <w:r w:rsidRPr="006E60B1">
        <w:rPr>
          <w:sz w:val="18"/>
          <w:szCs w:val="18"/>
        </w:rPr>
        <w:t>PRÓ-REITORIA DE ADMINISTRAÇÃO</w:t>
      </w:r>
    </w:p>
    <w:p w:rsidR="006E60B1" w:rsidRPr="006E60B1" w:rsidRDefault="006E60B1" w:rsidP="006E60B1">
      <w:pPr>
        <w:spacing w:after="0" w:line="240" w:lineRule="auto"/>
        <w:jc w:val="center"/>
        <w:rPr>
          <w:sz w:val="18"/>
          <w:szCs w:val="18"/>
        </w:rPr>
      </w:pPr>
      <w:r w:rsidRPr="006E60B1">
        <w:rPr>
          <w:sz w:val="18"/>
          <w:szCs w:val="18"/>
        </w:rPr>
        <w:t>DEPARTAMENTO DE PROJETOS, CONTRATOS E CONVÊNIOS</w:t>
      </w:r>
    </w:p>
    <w:p w:rsidR="006E60B1" w:rsidRPr="006E60B1" w:rsidRDefault="006E60B1" w:rsidP="006E60B1">
      <w:pPr>
        <w:spacing w:after="0" w:line="240" w:lineRule="auto"/>
        <w:jc w:val="center"/>
        <w:rPr>
          <w:b/>
          <w:sz w:val="18"/>
          <w:szCs w:val="18"/>
        </w:rPr>
      </w:pPr>
      <w:r w:rsidRPr="006E60B1">
        <w:rPr>
          <w:b/>
          <w:sz w:val="18"/>
          <w:szCs w:val="18"/>
        </w:rPr>
        <w:t>Coordenadoria De Contratos Terceirizados</w:t>
      </w:r>
    </w:p>
    <w:p w:rsidR="006E60B1" w:rsidRDefault="00E010D0" w:rsidP="006E60B1">
      <w:pPr>
        <w:pBdr>
          <w:bottom w:val="single" w:sz="12" w:space="1" w:color="auto"/>
        </w:pBdr>
        <w:jc w:val="center"/>
        <w:rPr>
          <w:sz w:val="18"/>
          <w:szCs w:val="18"/>
        </w:rPr>
      </w:pPr>
      <w:hyperlink r:id="rId7" w:history="1">
        <w:r w:rsidR="006E60B1" w:rsidRPr="006E60B1">
          <w:rPr>
            <w:rStyle w:val="Hyperlink"/>
            <w:sz w:val="18"/>
            <w:szCs w:val="18"/>
          </w:rPr>
          <w:t>scst.dpc@ufsc.br</w:t>
        </w:r>
      </w:hyperlink>
      <w:r w:rsidR="006E60B1" w:rsidRPr="006E60B1">
        <w:rPr>
          <w:sz w:val="18"/>
          <w:szCs w:val="18"/>
        </w:rPr>
        <w:t xml:space="preserve"> – 3721 4252-4236</w:t>
      </w:r>
    </w:p>
    <w:p w:rsidR="00E010D0" w:rsidRPr="00E010D0" w:rsidRDefault="00E010D0" w:rsidP="00E010D0">
      <w:pPr>
        <w:suppressAutoHyphens/>
        <w:spacing w:before="360" w:after="360" w:line="240" w:lineRule="auto"/>
        <w:jc w:val="center"/>
        <w:rPr>
          <w:rFonts w:eastAsia="Times New Roman" w:cs="Calibri"/>
          <w:b/>
          <w:bCs/>
          <w:sz w:val="20"/>
          <w:szCs w:val="20"/>
          <w:lang w:eastAsia="pt-BR"/>
        </w:rPr>
      </w:pPr>
      <w:r w:rsidRPr="00E010D0">
        <w:rPr>
          <w:rFonts w:eastAsia="Times New Roman" w:cs="Calibri"/>
          <w:b/>
          <w:bCs/>
          <w:sz w:val="20"/>
          <w:szCs w:val="20"/>
          <w:lang w:eastAsia="pt-BR"/>
        </w:rPr>
        <w:t xml:space="preserve">LISTA DE VERIFICAÇÃO PARA A RENOVAÇÃO DE CONTRATOS DE SERVIÇOS: </w:t>
      </w:r>
      <w:r w:rsidRPr="00E010D0">
        <w:rPr>
          <w:rFonts w:eastAsia="Times New Roman" w:cs="Calibri"/>
          <w:b/>
          <w:bCs/>
          <w:sz w:val="20"/>
          <w:szCs w:val="20"/>
          <w:shd w:val="clear" w:color="auto" w:fill="D9D9D9"/>
          <w:lang w:eastAsia="pt-BR"/>
        </w:rPr>
        <w:t xml:space="preserve">Versão </w:t>
      </w:r>
      <w:r>
        <w:rPr>
          <w:rFonts w:eastAsia="Times New Roman" w:cs="Calibri"/>
          <w:b/>
          <w:bCs/>
          <w:sz w:val="20"/>
          <w:szCs w:val="20"/>
          <w:shd w:val="clear" w:color="auto" w:fill="D9D9D9"/>
          <w:lang w:eastAsia="pt-BR"/>
        </w:rPr>
        <w:t>2</w:t>
      </w:r>
      <w:r w:rsidRPr="00E010D0">
        <w:rPr>
          <w:rFonts w:eastAsia="Times New Roman" w:cs="Calibri"/>
          <w:b/>
          <w:bCs/>
          <w:sz w:val="20"/>
          <w:szCs w:val="20"/>
          <w:shd w:val="clear" w:color="auto" w:fill="D9D9D9"/>
          <w:lang w:eastAsia="pt-BR"/>
        </w:rPr>
        <w:t>/2022</w:t>
      </w:r>
    </w:p>
    <w:p w:rsidR="00E010D0" w:rsidRPr="00E010D0" w:rsidRDefault="00E010D0" w:rsidP="00C86978">
      <w:pPr>
        <w:jc w:val="center"/>
        <w:rPr>
          <w:b/>
          <w:u w:val="single"/>
        </w:rPr>
      </w:pPr>
      <w:r w:rsidRPr="00E010D0">
        <w:rPr>
          <w:b/>
          <w:u w:val="single"/>
        </w:rPr>
        <w:t>Parecer Referencial</w:t>
      </w:r>
    </w:p>
    <w:p w:rsidR="00230A19" w:rsidRDefault="00C86978" w:rsidP="00C86978">
      <w:pPr>
        <w:jc w:val="center"/>
      </w:pPr>
      <w:r>
        <w:t>C</w:t>
      </w:r>
      <w:r w:rsidR="00E010D0">
        <w:t>HECKLIST - PARTE 1</w:t>
      </w:r>
      <w:r w:rsidR="00230A19">
        <w:t xml:space="preserve"> - </w:t>
      </w:r>
      <w:r w:rsidR="00230A19" w:rsidRPr="00C86978">
        <w:rPr>
          <w:b/>
        </w:rPr>
        <w:t>REQUERENTE</w:t>
      </w:r>
    </w:p>
    <w:tbl>
      <w:tblPr>
        <w:tblpPr w:leftFromText="141" w:rightFromText="141" w:vertAnchor="text" w:tblpX="-601" w:tblpY="1"/>
        <w:tblOverlap w:val="never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52"/>
        <w:gridCol w:w="3933"/>
        <w:gridCol w:w="711"/>
        <w:gridCol w:w="711"/>
        <w:gridCol w:w="711"/>
        <w:gridCol w:w="990"/>
        <w:gridCol w:w="1840"/>
      </w:tblGrid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548DD4"/>
          </w:tcPr>
          <w:p w:rsidR="009C1EFE" w:rsidRPr="009C1EFE" w:rsidRDefault="009C1EFE" w:rsidP="009C1EFE">
            <w:pPr>
              <w:spacing w:after="0" w:line="240" w:lineRule="auto"/>
              <w:rPr>
                <w:rFonts w:cstheme="minorHAnsi"/>
                <w:color w:val="FFFFFF"/>
                <w:sz w:val="16"/>
                <w:szCs w:val="18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548DD4"/>
          </w:tcPr>
          <w:p w:rsidR="009C1EFE" w:rsidRPr="009C1EFE" w:rsidRDefault="00BA0CC5" w:rsidP="0057618B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8"/>
              </w:rPr>
            </w:pPr>
            <w:r>
              <w:rPr>
                <w:rFonts w:cstheme="minorHAnsi"/>
                <w:color w:val="FFFFFF"/>
                <w:sz w:val="16"/>
                <w:szCs w:val="18"/>
              </w:rPr>
              <w:t>Nº Parecer</w:t>
            </w:r>
          </w:p>
        </w:tc>
        <w:tc>
          <w:tcPr>
            <w:tcW w:w="1887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b/>
                <w:bCs/>
                <w:color w:val="FFFFFF"/>
                <w:sz w:val="16"/>
                <w:szCs w:val="18"/>
              </w:rPr>
              <w:t>REQUISITO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b/>
                <w:bCs/>
                <w:color w:val="FFFFFF"/>
                <w:sz w:val="16"/>
                <w:szCs w:val="18"/>
              </w:rPr>
              <w:t>SIM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b/>
                <w:bCs/>
                <w:color w:val="FFFFFF"/>
                <w:sz w:val="16"/>
                <w:szCs w:val="18"/>
              </w:rPr>
              <w:t>NÃO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b/>
                <w:bCs/>
                <w:color w:val="FFFFFF"/>
                <w:sz w:val="16"/>
                <w:szCs w:val="18"/>
              </w:rPr>
              <w:t>N/A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b/>
                <w:bCs/>
                <w:color w:val="FFFFFF"/>
                <w:sz w:val="16"/>
                <w:szCs w:val="18"/>
              </w:rPr>
              <w:t>FOLHAS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b/>
                <w:bCs/>
                <w:color w:val="FFFFFF"/>
                <w:sz w:val="16"/>
                <w:szCs w:val="18"/>
              </w:rPr>
              <w:t>FUNDAMENTO</w:t>
            </w:r>
          </w:p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b/>
                <w:bCs/>
                <w:color w:val="FFFFFF"/>
                <w:sz w:val="16"/>
                <w:szCs w:val="18"/>
              </w:rPr>
              <w:t>JURÍDICO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Houve inserção da renovação no sistema de Planejamento e Gerenciamento de Contratações (PGC) - ou sistema substituto a este -, com indicação dos números de registros?</w:t>
            </w:r>
          </w:p>
          <w:p w:rsidR="009C1EFE" w:rsidRPr="009C1EFE" w:rsidRDefault="009C1EFE" w:rsidP="00230A19">
            <w:pPr>
              <w:pStyle w:val="Textodocorpo1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Atenção: Este item não se aplica (N/A) nos casos de concessão/cessão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IN </w:t>
            </w: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01/2019/SEGES/ME</w:t>
            </w:r>
          </w:p>
          <w:p w:rsidR="009C1EFE" w:rsidRPr="009C1EFE" w:rsidRDefault="009C1EFE" w:rsidP="00E86238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Decreto n. 10.947/2022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6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Está formalmente demonstrada que a forma de prestação dos serviços tem natureza continuada e há previsão expressa no edital (contrato) autorizando a renovação?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art. 57, II e § 4.º da L.8.666/93</w:t>
            </w:r>
          </w:p>
          <w:p w:rsidR="009C1EFE" w:rsidRPr="009C1EFE" w:rsidRDefault="009C1EFE" w:rsidP="00E86238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item 3, "a", do anexo IX da </w:t>
            </w: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IN SEGES/MP n. 05/2017</w:t>
            </w:r>
          </w:p>
          <w:p w:rsidR="009C1EFE" w:rsidRPr="009C1EFE" w:rsidRDefault="009C1EFE" w:rsidP="00E86238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ON n. 65/2020/AGU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7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Há relatório que discorra sobre a execução do contrato, com informações de que os serviços tenham sido prestados regularmente até então?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IX, item 03, "b", da </w:t>
            </w: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IN SEGES/MP n. 05/2017</w:t>
            </w:r>
          </w:p>
          <w:p w:rsidR="009C1EFE" w:rsidRPr="009C1EFE" w:rsidRDefault="009C1EFE" w:rsidP="00E86238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art. 67 da L. 8.666/93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7.1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Esse relatório foi expedido pelo fiscal e/ou gestor identificado para esse contrato?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ind w:left="24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8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 unidade requisitante (ordenador setorial) apresentou expediente em que explana a justificativa e o motivo para a renovação, descrevendo que a Administração mantém interesse na realização do serviço (identificando a demanda que o objeto contratual atende, a persistência dessa demanda que justifique a continuidade do contrato e os resultados esperados com a nova vigência do prazo de execução)?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after="120" w:line="240" w:lineRule="auto"/>
              <w:ind w:left="-1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anexo IX, item 03, "c", da IN SEGES/MP n. 05/2017</w:t>
            </w:r>
          </w:p>
          <w:p w:rsidR="009C1EFE" w:rsidRPr="009C1EFE" w:rsidRDefault="009C1EFE" w:rsidP="00E86238">
            <w:pPr>
              <w:pStyle w:val="Textodocorpo1"/>
              <w:shd w:val="clear" w:color="auto" w:fill="auto"/>
              <w:spacing w:after="120" w:line="240" w:lineRule="auto"/>
              <w:ind w:left="-1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Parecer    n. 07/2016/CPLC/DEPCONSU/PGF/AGU</w:t>
            </w:r>
          </w:p>
          <w:p w:rsidR="009C1EFE" w:rsidRPr="009C1EFE" w:rsidRDefault="009C1EFE" w:rsidP="00E86238">
            <w:pPr>
              <w:pStyle w:val="Textodocorpo1"/>
              <w:shd w:val="clear" w:color="auto" w:fill="auto"/>
              <w:spacing w:after="120" w:line="240" w:lineRule="auto"/>
              <w:ind w:left="-1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art. 57, II e § 4º, da Lei n. 8.666/93.</w:t>
            </w:r>
          </w:p>
          <w:p w:rsidR="009C1EFE" w:rsidRPr="009C1EFE" w:rsidRDefault="009C1EFE" w:rsidP="00E86238">
            <w:pPr>
              <w:pStyle w:val="Textodocorpo1"/>
              <w:shd w:val="clear" w:color="auto" w:fill="auto"/>
              <w:spacing w:after="120" w:line="240" w:lineRule="auto"/>
              <w:ind w:left="-113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art. 50 da Lei n. 9.784/1999; c/c art. 2.º, caput, "d", e § único, "d", da Lei n. 4.717/1965 - Lei da Ação Popular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8.1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 renovação é excepcional? Caso seja, há justificativa específica de que a ausência do serviço irá acarretar prejuízos consideráveis ao bom funcionamento do órgão ou da entidade contratante, ou seja, a necessidade em questão precisa ser inadiável?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ind w:left="24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C1EFE" w:rsidRPr="009C1EFE" w:rsidTr="00BA0CC5">
        <w:trPr>
          <w:cantSplit/>
          <w:trHeight w:val="1038"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9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Observar os itens abaixo no caso de contrato decorrente de inexigibilidade de licitação ou contratação direta: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AC  n. 555/2016/TCU – Plenário</w:t>
            </w:r>
          </w:p>
          <w:p w:rsidR="009C1EFE" w:rsidRPr="009C1EFE" w:rsidRDefault="009C1EFE" w:rsidP="00E86238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arts. 24, 25 e 26 da Lei n. 8.666/93</w:t>
            </w:r>
          </w:p>
          <w:p w:rsidR="009C1EFE" w:rsidRPr="009C1EFE" w:rsidRDefault="009C1EFE" w:rsidP="00E86238">
            <w:pPr>
              <w:pStyle w:val="Textodocorpo1"/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art. 50 da Lei n. 9.784/1999; c/c art. 2.º, </w:t>
            </w:r>
            <w:r w:rsidRPr="009C1EF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caput</w:t>
            </w: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"d", e § único, "d", da Lei n. 4.717/1965 - Lei da Ação Popular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9.1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after="24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Sendo  decorrente de inexigibilidade de licitação, foi certificado nos autos a manutenção da inviabilidade de competição, inclusive atualizado o atestado de exclusividade apresentado à época da celebração do contrato?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after="120" w:line="240" w:lineRule="auto"/>
              <w:ind w:left="102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lastRenderedPageBreak/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9.2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Caso firmado por dispensa que exija alguma qualidade específica do contratado para enquadramento legal, essa situação se mantém?</w:t>
            </w:r>
          </w:p>
          <w:p w:rsidR="009C1EFE" w:rsidRPr="009C1EFE" w:rsidRDefault="009C1EFE" w:rsidP="0057618B">
            <w:pPr>
              <w:pStyle w:val="Textodocorpo1"/>
              <w:shd w:val="clear" w:color="auto" w:fill="auto"/>
              <w:spacing w:after="120" w:line="240" w:lineRule="auto"/>
              <w:ind w:left="2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b/>
                <w:sz w:val="16"/>
                <w:szCs w:val="18"/>
              </w:rPr>
              <w:t>Exemplos</w:t>
            </w: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:</w:t>
            </w:r>
          </w:p>
          <w:p w:rsidR="009C1EFE" w:rsidRPr="009C1EFE" w:rsidRDefault="009C1EFE" w:rsidP="0057618B">
            <w:pPr>
              <w:pStyle w:val="Textodocorpo1"/>
              <w:numPr>
                <w:ilvl w:val="0"/>
                <w:numId w:val="6"/>
              </w:numPr>
              <w:shd w:val="clear" w:color="auto" w:fill="auto"/>
              <w:spacing w:after="120" w:line="240" w:lineRule="auto"/>
              <w:ind w:left="20" w:firstLine="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Dispensa do art. 24, XIII: deve ser apresentado comprovante de manutenção do credenciamento da Fundação de Apoio;</w:t>
            </w:r>
          </w:p>
          <w:p w:rsidR="009C1EFE" w:rsidRPr="009C1EFE" w:rsidRDefault="009C1EFE" w:rsidP="006E60B1">
            <w:pPr>
              <w:pStyle w:val="Textodocorpo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0" w:firstLine="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Dispensas dos arts. 17, </w:t>
            </w:r>
            <w:r w:rsidRPr="009C1EF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§  2.º; ou </w:t>
            </w: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24, VIII e XVI: o órgão ou Entidade devem permanecer integrando a Administração Público (estar atento às privatizações).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ind w:left="24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10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Há manifestação expressa da contratada/concessionária/cessionára informando o interesse na renovação (por escrito, podendo ser por e-mail, portanto)?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anexo IX, item 3, “e”, da </w:t>
            </w: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IN SEGES/MP n. 05/2017</w:t>
            </w:r>
          </w:p>
          <w:p w:rsidR="009C1EFE" w:rsidRPr="009C1EFE" w:rsidRDefault="009C1EFE" w:rsidP="00E86238">
            <w:pPr>
              <w:pStyle w:val="Textodenotaderodap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11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Pode-se afirmar que não houve evento relevante durante a execução que torne necessário atualizar o Mapa de Riscos?</w:t>
            </w:r>
          </w:p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Atenção: Estes itens não se aplicam (N/A) nos casos de concessão/cessão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art. 26, §1º, IV, da </w:t>
            </w: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IN SEGES/MP n. 05/2017</w:t>
            </w:r>
          </w:p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ind w:left="24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11.1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Registrada a existência de evento relevante na forma do item anterior, consta dos autos o Mapa de Riscos atualizado?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ind w:left="24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highlight w:val="yellow"/>
              </w:rPr>
            </w:pPr>
            <w:r w:rsidRPr="009C1EFE">
              <w:rPr>
                <w:rFonts w:cstheme="minorHAnsi"/>
                <w:sz w:val="16"/>
                <w:szCs w:val="18"/>
              </w:rPr>
              <w:t>12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after="24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Há comprovação, por meio de análise entre os preços contratados e aqueles praticados no mercado de que o valor do contrato permanece economicamente vantajoso para a Administração?</w:t>
            </w:r>
          </w:p>
          <w:p w:rsidR="009C1EFE" w:rsidRPr="009C1EFE" w:rsidRDefault="009C1EFE" w:rsidP="006E60B1">
            <w:pPr>
              <w:pStyle w:val="Textodocorpo1"/>
              <w:numPr>
                <w:ilvl w:val="0"/>
                <w:numId w:val="7"/>
              </w:numPr>
              <w:shd w:val="clear" w:color="auto" w:fill="auto"/>
              <w:spacing w:after="24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Atenção: Estes itens não se aplicam (N/A) nos casos de concessão/cessão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itens 3, d, 4, 7, 8 e 11, a, do anexo IX da IN SEGES/MP n. 05/2017;</w:t>
            </w:r>
          </w:p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OFÍCIO-CIRCULAR n. 00001/2018/NLICIT/PFUFSC/PGF/AGU (MEM C 9/PC/PF/2018, no sistema SPA);</w:t>
            </w:r>
          </w:p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Parecer n. 00004/2018/CPLC/DEPCONSU/PGF/AGU; e</w:t>
            </w:r>
          </w:p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ON n. 60/2020/AGU.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0D5796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highlight w:val="yellow"/>
              </w:rPr>
            </w:pPr>
            <w:r w:rsidRPr="000D5796">
              <w:rPr>
                <w:rFonts w:cstheme="minorHAnsi"/>
                <w:sz w:val="16"/>
                <w:szCs w:val="18"/>
              </w:rPr>
              <w:t>12.1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after="24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Tratando-se de contrato com mão de obra exclusiva, em que é dispensada a pesquisa de mercado, foi certificado no processo o atendimento das alíneas do item 7 do Anexo IX da IN SEGES 5/2017, ou seja, o reajuste da mão-de-obra ocorre por repactuação e o dos insumos por índice (reajuste sentido estrito)?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9C1EFE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ab/>
              <w:t>itens 3, d, 4, 7, 8 e 11, a, do anexo IX da IN SEGES/MP n. 05/2017;</w:t>
            </w:r>
          </w:p>
          <w:p w:rsidR="009C1EFE" w:rsidRPr="009C1EFE" w:rsidRDefault="009C1EFE" w:rsidP="009C1EFE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C1EFE" w:rsidRPr="009C1EFE" w:rsidRDefault="009C1EFE" w:rsidP="009C1EFE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ab/>
              <w:t>OFÍCIO-CIRCULAR n. 00001/2018/NLICIT/PFUFSC/PGF/AGU (MEM C 9/PC/PF/2018, no sistema SPA);</w:t>
            </w:r>
          </w:p>
          <w:p w:rsidR="009C1EFE" w:rsidRPr="009C1EFE" w:rsidRDefault="009C1EFE" w:rsidP="009C1EFE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C1EFE" w:rsidRPr="009C1EFE" w:rsidRDefault="009C1EFE" w:rsidP="009C1EFE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ab/>
              <w:t>Parecer n. 00004/2018/CPLC/DEPCONSU/PGF/AGU; e</w:t>
            </w:r>
          </w:p>
          <w:p w:rsidR="009C1EFE" w:rsidRPr="009C1EFE" w:rsidRDefault="009C1EFE" w:rsidP="009C1EFE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C1EFE" w:rsidRPr="009C1EFE" w:rsidRDefault="009C1EFE" w:rsidP="009C1EFE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ON n. 60/2020/AGU.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0D5796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0D5796">
              <w:rPr>
                <w:rFonts w:cstheme="minorHAnsi"/>
                <w:sz w:val="16"/>
                <w:szCs w:val="18"/>
              </w:rPr>
              <w:t>12.2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after="24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Tratando-se de contrato sem mão de obra exclusiva e havendo a dispensa da pesquisa de preços, o índice de reajuste aplicável ao contrato continua acompanhando a variação dos preços de mercado? Pode-se afirmar que o mercado não tem noticiado intercorrências severas que indiquem que esse índice deixou de refletir a inflação, causando desvantagem para a UFSC (vide o ocorrido com o IGP-M na pandemia)? Caso a resposta seja “não”, a pesquisa de preços deve ser realizada para atestar a vantajosidade da renovação.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0D5796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0D5796">
              <w:rPr>
                <w:rFonts w:cstheme="minorHAnsi"/>
                <w:sz w:val="16"/>
                <w:szCs w:val="18"/>
              </w:rPr>
              <w:t>12.3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after="24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Sendo o objeto do contrato regulado por caderno de logística que imponha teto de custo, está sendo observado esse teto?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0D5796" w:rsidRDefault="009C1EFE" w:rsidP="009C1EFE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0D5796">
              <w:rPr>
                <w:rFonts w:cstheme="minorHAnsi"/>
                <w:sz w:val="16"/>
                <w:szCs w:val="18"/>
              </w:rPr>
              <w:t>12.3.1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pStyle w:val="Textodocorpo1"/>
              <w:shd w:val="clear" w:color="auto" w:fill="auto"/>
              <w:spacing w:after="24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Caso sim, esse teto está sendo observado?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57618B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57618B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E86238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lastRenderedPageBreak/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Verificou-se (SICAF, CNIA, CEIS, TCU consolidada) que não há registro de sanção à empresa contratada que a impeçam de celebrar ou manter contrato administrativo com a UFSC (ex.: suspensão aplicada pela UFSC, impedimento aplicado por qualquer órgão/Entidade federal ou declaração de inidoneidade registrada)?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item 11, “b”, do Anexo IX da IN-SEGES 5/2017</w:t>
            </w:r>
          </w:p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art. 7.º da 10.520/02 e art. 87 da Lei n.º 8.666/93</w:t>
            </w:r>
          </w:p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art. 6.º e ss. da Lei n.º 10.522/2002</w:t>
            </w:r>
          </w:p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Parecer n. 00086/2018/NLICIT/PFUFSC/PGF/AGU</w:t>
            </w:r>
          </w:p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Parecer n. 00170/2017/NLICIT/PFUFSC/PGF/AGU</w:t>
            </w:r>
          </w:p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PARECER n. 00007/2020/CPLC/DEPCONSU/PGF/AGU</w:t>
            </w:r>
          </w:p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Informativo de Licitações e Contratos n.º 44/2010/TCU</w:t>
            </w:r>
          </w:p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 inscrição no Cadin não impede a prorrogação, mas exige análise da condição qualificação econômico-financeira. Vide Acórdão TCU n. 1.134/2017 - Plenário</w:t>
            </w:r>
          </w:p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 cinco primeiras certidões podem deixar de ser apresentadas de modo avulso caso constem do SICAF (posto que o SICAF é alimentado com essas informações), </w:t>
            </w:r>
            <w:r w:rsidRPr="009C1EFE">
              <w:rPr>
                <w:rStyle w:val="nfase"/>
                <w:rFonts w:asciiTheme="minorHAnsi" w:hAnsiTheme="minorHAnsi" w:cstheme="minorHAnsi"/>
                <w:color w:val="000000"/>
                <w:sz w:val="16"/>
                <w:szCs w:val="16"/>
              </w:rPr>
              <w:t>ex vi</w:t>
            </w: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do art. 14, § único, da Lei n. 10.520/02</w:t>
            </w:r>
          </w:p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 Consulta Consolidada de Pessoa Jurídica TCU não é obrigatória e substitui a CNIA, o CEIS e a certidão de idoneidade do TCU</w:t>
            </w:r>
          </w:p>
          <w:p w:rsidR="009C1EFE" w:rsidRPr="009C1EFE" w:rsidRDefault="009C1EFE" w:rsidP="006E60B1">
            <w:pPr>
              <w:pStyle w:val="Textodocorpo1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Certidões positivas com efeito de negativa têm a mesma eficácia da certidão negativa, o que não é óbice, portanto, à regularidade da contratada. Certidões positivas tornam intransponível, regra geral, a contratação/renovação contratual.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Foram apresentadas a regularidade fiscal e trabalhista, cfe. as Certidões e Registros negativos seguintes, sem óbice à celebração do aditivo?:</w:t>
            </w:r>
          </w:p>
          <w:p w:rsidR="009C1EFE" w:rsidRPr="009C1EFE" w:rsidRDefault="009C1EFE" w:rsidP="006E60B1">
            <w:pPr>
              <w:pStyle w:val="Textodocorpo1"/>
              <w:numPr>
                <w:ilvl w:val="0"/>
                <w:numId w:val="4"/>
              </w:numPr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Atenção: certidão negativa ou positiva com efeito de negativa admitem a celebração; as demais, não: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BA0CC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do SICAF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Certidão negativa de débitos relativos aos tributos federais e à dívida ativa da união (Receita – RFB e INSS = PGFN)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BA0CC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do SICAF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Certidão Negativa Receita Estadual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BA0CC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do SICAF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lastRenderedPageBreak/>
              <w:t>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14.1.3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Certidão Negativa Receita Municipal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BA0CC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do SICAF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Certificado de regularidade do FGTS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BA0CC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do SICAF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14.1.5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Certidão negativa de débitos trabalhistas - CNDT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BA0CC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do SICAF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14.1.6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Consulta junto ao SICAF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BA0CC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14.1.7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Negativa restrição CADIN (sobre o Cadin, vide observação na última coluna deste checklist)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BA0CC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14.1.8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Certidão Negativa junto ao cadastro nacional de condenações cíveis por ato de improbidade administrativa - CNIA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BA0CC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Consolidada do TCU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14.1.9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Consulta ao Cadastro Nacional de Empresas Inidôneas e Suspensas - CEIS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BA0CC5">
            <w:pPr>
              <w:pStyle w:val="Textodocorpo1"/>
              <w:shd w:val="clear" w:color="auto" w:fill="auto"/>
              <w:spacing w:line="240" w:lineRule="auto"/>
              <w:ind w:left="245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Consolidada do TCU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14.1.10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Certidão de licitante idôneo emitida pelo TCU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BA0CC5">
            <w:pPr>
              <w:pStyle w:val="Textodocorpo1"/>
              <w:shd w:val="clear" w:color="auto" w:fill="auto"/>
              <w:spacing w:line="240" w:lineRule="auto"/>
              <w:ind w:left="245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Consolidada do TCU</w:t>
            </w: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14.1.11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Consulta Consolidada de Pessoa Jurídica TCU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line="240" w:lineRule="auto"/>
              <w:ind w:left="24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1EFE" w:rsidRPr="009C1EFE" w:rsidTr="00BA0CC5">
        <w:trPr>
          <w:cantSplit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14.1.12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Certidão Negativa junto ao cadastro nacional de condenações cíveis por ato de improbidade administrativa – CNIA em nome da </w:t>
            </w:r>
            <w:r w:rsidRPr="009C1EFE">
              <w:rPr>
                <w:rFonts w:asciiTheme="minorHAnsi" w:hAnsiTheme="minorHAnsi" w:cstheme="minorHAnsi"/>
                <w:b/>
                <w:sz w:val="16"/>
                <w:szCs w:val="18"/>
              </w:rPr>
              <w:t>pessoa física sócio majoritário</w:t>
            </w: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 da pessoa jurídica contratada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FE" w:rsidRPr="009C1EFE" w:rsidRDefault="009C1EFE" w:rsidP="006E60B1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art.12, I, II e III da Lei n. 8.429/1992</w:t>
            </w:r>
          </w:p>
        </w:tc>
      </w:tr>
    </w:tbl>
    <w:p w:rsidR="00745C82" w:rsidRDefault="00C42790" w:rsidP="00E86238">
      <w:pPr>
        <w:spacing w:before="120" w:after="120" w:line="360" w:lineRule="auto"/>
        <w:jc w:val="center"/>
      </w:pPr>
      <w:r>
        <w:t xml:space="preserve">CHECKLIST - PARTE </w:t>
      </w:r>
      <w:r w:rsidR="00E010D0">
        <w:t>2</w:t>
      </w:r>
      <w:r>
        <w:t xml:space="preserve"> - </w:t>
      </w:r>
      <w:r w:rsidR="007E6373">
        <w:rPr>
          <w:rFonts w:ascii="Calibri" w:hAnsi="Calibri" w:cs="Calibri"/>
          <w:b/>
          <w:bCs/>
          <w:sz w:val="20"/>
        </w:rPr>
        <w:t>REQUERENTE</w:t>
      </w:r>
    </w:p>
    <w:tbl>
      <w:tblPr>
        <w:tblW w:w="5572" w:type="pct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8"/>
        <w:gridCol w:w="3947"/>
        <w:gridCol w:w="733"/>
        <w:gridCol w:w="710"/>
        <w:gridCol w:w="710"/>
        <w:gridCol w:w="991"/>
        <w:gridCol w:w="1660"/>
      </w:tblGrid>
      <w:tr w:rsidR="00BA0CC5" w:rsidRPr="00BA0CC5" w:rsidTr="00BA0CC5">
        <w:trPr>
          <w:cantSplit/>
          <w:tblHeader/>
        </w:trPr>
        <w:tc>
          <w:tcPr>
            <w:tcW w:w="343" w:type="pct"/>
            <w:tcBorders>
              <w:bottom w:val="single" w:sz="4" w:space="0" w:color="auto"/>
            </w:tcBorders>
            <w:shd w:val="clear" w:color="auto" w:fill="548DD4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16"/>
                <w:szCs w:val="20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548DD4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16"/>
                <w:szCs w:val="20"/>
              </w:rPr>
            </w:pPr>
            <w:r>
              <w:rPr>
                <w:rFonts w:cstheme="minorHAnsi"/>
                <w:color w:val="FFFFFF"/>
                <w:sz w:val="16"/>
                <w:szCs w:val="18"/>
              </w:rPr>
              <w:t>Nº Parecer</w:t>
            </w:r>
          </w:p>
        </w:tc>
        <w:tc>
          <w:tcPr>
            <w:tcW w:w="1907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</w:pPr>
            <w:r w:rsidRPr="00BA0CC5"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  <w:t>REQUISITO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</w:pPr>
            <w:r w:rsidRPr="00BA0CC5"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  <w:t>SIM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</w:pPr>
            <w:r w:rsidRPr="00BA0CC5"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  <w:t>NÃO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</w:pPr>
            <w:r w:rsidRPr="00BA0CC5"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  <w:t>N/A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</w:pPr>
            <w:r w:rsidRPr="00BA0CC5"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  <w:t>FOLHAS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</w:pPr>
            <w:r w:rsidRPr="00BA0CC5"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  <w:t>FUNDAMENTO</w:t>
            </w:r>
          </w:p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</w:pPr>
            <w:r w:rsidRPr="00BA0CC5"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  <w:t>JURÍDICO</w:t>
            </w:r>
          </w:p>
        </w:tc>
      </w:tr>
      <w:tr w:rsidR="00BA0CC5" w:rsidRPr="00BA0CC5" w:rsidTr="00BA0CC5">
        <w:trPr>
          <w:cantSplit/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t>3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="Calibri" w:hAnsi="Calibri" w:cs="Calibri"/>
                <w:iCs/>
                <w:sz w:val="16"/>
                <w:szCs w:val="18"/>
              </w:rPr>
            </w:pPr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>Caso a renovação ocorra por prazo superior a 12 (doze) meses, o edital/contrato previu essa possibilidade originariamente?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C5" w:rsidRPr="00BA0CC5" w:rsidRDefault="00BA0CC5" w:rsidP="0057618B">
            <w:pPr>
              <w:spacing w:after="0" w:line="240" w:lineRule="auto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pStyle w:val="Textodocorpo1"/>
              <w:numPr>
                <w:ilvl w:val="0"/>
                <w:numId w:val="1"/>
              </w:numPr>
              <w:shd w:val="clear" w:color="auto" w:fill="auto"/>
              <w:spacing w:after="120" w:line="240" w:lineRule="auto"/>
              <w:ind w:left="245" w:hanging="142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A0CC5">
              <w:rPr>
                <w:color w:val="000000"/>
                <w:sz w:val="16"/>
                <w:szCs w:val="16"/>
              </w:rPr>
              <w:t>Anexo IX, item 12, alíneas "a" e "b" da IN SEGES/MP n. 05/2017</w:t>
            </w:r>
          </w:p>
          <w:p w:rsidR="00BA0CC5" w:rsidRPr="00BA0CC5" w:rsidRDefault="00BA0CC5" w:rsidP="0057618B">
            <w:pPr>
              <w:pStyle w:val="Textodocorpo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245" w:hanging="142"/>
              <w:rPr>
                <w:rFonts w:asciiTheme="minorHAnsi" w:hAnsiTheme="minorHAnsi" w:cs="Calibri"/>
                <w:sz w:val="16"/>
                <w:szCs w:val="16"/>
              </w:rPr>
            </w:pPr>
            <w:r w:rsidRPr="00BA0CC5">
              <w:rPr>
                <w:rFonts w:asciiTheme="minorHAnsi" w:hAnsiTheme="minorHAnsi" w:cs="Calibri"/>
                <w:sz w:val="16"/>
                <w:szCs w:val="16"/>
              </w:rPr>
              <w:t xml:space="preserve">AC TCU </w:t>
            </w:r>
            <w:r w:rsidRPr="00BA0CC5">
              <w:rPr>
                <w:color w:val="000000"/>
                <w:sz w:val="16"/>
                <w:szCs w:val="16"/>
              </w:rPr>
              <w:t>n. 490/2012 - Plenário</w:t>
            </w:r>
          </w:p>
        </w:tc>
      </w:tr>
      <w:tr w:rsidR="00BA0CC5" w:rsidRPr="00BA0CC5" w:rsidTr="00BA0CC5">
        <w:trPr>
          <w:cantSplit/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t>4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="Calibri" w:hAnsi="Calibri" w:cs="Calibri"/>
                <w:iCs/>
                <w:sz w:val="16"/>
                <w:szCs w:val="18"/>
              </w:rPr>
            </w:pPr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>Caso a renovação ocorra por prazo inferior ao prazo de vigência originariamente celebrado (ou seja, um contrato de 12 meses renovado por apenas 6 meses), há justificativa específica que expresse o interesse público nessa tomada de decisão?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C5" w:rsidRPr="00BA0CC5" w:rsidRDefault="00BA0CC5" w:rsidP="0057618B">
            <w:pPr>
              <w:spacing w:after="0" w:line="240" w:lineRule="auto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pStyle w:val="Textodocorpo1"/>
              <w:numPr>
                <w:ilvl w:val="0"/>
                <w:numId w:val="1"/>
              </w:numPr>
              <w:shd w:val="clear" w:color="auto" w:fill="auto"/>
              <w:spacing w:after="120" w:line="240" w:lineRule="auto"/>
              <w:ind w:left="245" w:hanging="142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A0CC5">
              <w:rPr>
                <w:color w:val="000000"/>
                <w:sz w:val="16"/>
                <w:szCs w:val="16"/>
              </w:rPr>
              <w:t>Anexo IX, item 12, alínea "c", da IN SEGES/MP n. 05/2017</w:t>
            </w:r>
          </w:p>
          <w:p w:rsidR="00BA0CC5" w:rsidRPr="00BA0CC5" w:rsidRDefault="00BA0CC5" w:rsidP="0057618B">
            <w:pPr>
              <w:pStyle w:val="Textodocorpo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245" w:hanging="142"/>
              <w:rPr>
                <w:rFonts w:asciiTheme="minorHAnsi" w:hAnsiTheme="minorHAnsi" w:cs="Calibri"/>
                <w:sz w:val="16"/>
                <w:szCs w:val="16"/>
              </w:rPr>
            </w:pPr>
            <w:r w:rsidRPr="00BA0CC5">
              <w:rPr>
                <w:color w:val="000000"/>
                <w:sz w:val="16"/>
                <w:szCs w:val="16"/>
              </w:rPr>
              <w:t>ON AGU  n. </w:t>
            </w:r>
            <w:r w:rsidRPr="00BA0CC5">
              <w:rPr>
                <w:color w:val="000000"/>
                <w:sz w:val="16"/>
                <w:szCs w:val="16"/>
                <w:shd w:val="clear" w:color="auto" w:fill="FFFFFF"/>
              </w:rPr>
              <w:t>38/2011</w:t>
            </w:r>
          </w:p>
        </w:tc>
      </w:tr>
      <w:tr w:rsidR="00BA0CC5" w:rsidRPr="00BA0CC5" w:rsidTr="00BA0CC5">
        <w:trPr>
          <w:cantSplit/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t>6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="Calibri" w:hAnsi="Calibri" w:cs="Calibri"/>
                <w:iCs/>
                <w:sz w:val="16"/>
                <w:szCs w:val="18"/>
              </w:rPr>
            </w:pPr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 xml:space="preserve">Está sendo observado, com a nova vigência, o limite de: </w:t>
            </w:r>
          </w:p>
          <w:p w:rsidR="00BA0CC5" w:rsidRPr="00BA0CC5" w:rsidRDefault="00BA0CC5" w:rsidP="0057618B">
            <w:pPr>
              <w:pStyle w:val="Textodocorpo1"/>
              <w:numPr>
                <w:ilvl w:val="0"/>
                <w:numId w:val="3"/>
              </w:numPr>
              <w:shd w:val="clear" w:color="auto" w:fill="auto"/>
              <w:spacing w:after="120" w:line="240" w:lineRule="auto"/>
              <w:ind w:left="140" w:firstLine="0"/>
              <w:jc w:val="both"/>
              <w:rPr>
                <w:rFonts w:ascii="Calibri" w:hAnsi="Calibri" w:cs="Calibri"/>
                <w:iCs/>
                <w:sz w:val="16"/>
                <w:szCs w:val="18"/>
              </w:rPr>
            </w:pPr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 xml:space="preserve">48 (quarenta e oito) meses, sem possibilidade de prorrogação excepcional para aluguel de equipamentos ou programas de informática; </w:t>
            </w:r>
          </w:p>
          <w:p w:rsidR="00BA0CC5" w:rsidRPr="00BA0CC5" w:rsidRDefault="00BA0CC5" w:rsidP="0057618B">
            <w:pPr>
              <w:pStyle w:val="Textodocorpo1"/>
              <w:numPr>
                <w:ilvl w:val="0"/>
                <w:numId w:val="3"/>
              </w:numPr>
              <w:shd w:val="clear" w:color="auto" w:fill="auto"/>
              <w:spacing w:after="120" w:line="240" w:lineRule="auto"/>
              <w:ind w:left="140" w:firstLine="0"/>
              <w:jc w:val="both"/>
              <w:rPr>
                <w:rFonts w:ascii="Calibri" w:hAnsi="Calibri" w:cs="Calibri"/>
                <w:iCs/>
                <w:sz w:val="16"/>
                <w:szCs w:val="18"/>
              </w:rPr>
            </w:pPr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>60 (sessenta) meses no caso de renovação de serviços/cessão/concessão; e</w:t>
            </w:r>
          </w:p>
          <w:p w:rsidR="00BA0CC5" w:rsidRPr="00BA0CC5" w:rsidRDefault="00BA0CC5" w:rsidP="0057618B">
            <w:pPr>
              <w:pStyle w:val="Textodocorpo1"/>
              <w:numPr>
                <w:ilvl w:val="0"/>
                <w:numId w:val="3"/>
              </w:numPr>
              <w:shd w:val="clear" w:color="auto" w:fill="auto"/>
              <w:spacing w:after="120" w:line="240" w:lineRule="auto"/>
              <w:ind w:left="140" w:firstLine="0"/>
              <w:jc w:val="both"/>
              <w:rPr>
                <w:rFonts w:ascii="Calibri" w:hAnsi="Calibri" w:cs="Calibri"/>
                <w:iCs/>
                <w:sz w:val="16"/>
                <w:szCs w:val="18"/>
              </w:rPr>
            </w:pPr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 xml:space="preserve"> 72 (setenta e dois) meses, no caso de prorrogação excepcional de serviços/cessão/concessão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C5" w:rsidRPr="00BA0CC5" w:rsidRDefault="00BA0CC5" w:rsidP="0057618B">
            <w:pPr>
              <w:spacing w:after="0" w:line="240" w:lineRule="auto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pStyle w:val="Textodocorpo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245" w:hanging="142"/>
              <w:rPr>
                <w:rFonts w:asciiTheme="minorHAnsi" w:hAnsiTheme="minorHAnsi" w:cs="Calibri"/>
                <w:sz w:val="16"/>
                <w:szCs w:val="16"/>
              </w:rPr>
            </w:pPr>
            <w:r w:rsidRPr="00BA0CC5">
              <w:rPr>
                <w:rFonts w:asciiTheme="minorHAnsi" w:hAnsiTheme="minorHAnsi" w:cs="Calibri"/>
                <w:sz w:val="16"/>
                <w:szCs w:val="16"/>
              </w:rPr>
              <w:t xml:space="preserve">Art. 57, II, IV e </w:t>
            </w:r>
            <w:r w:rsidRPr="00BA0CC5">
              <w:rPr>
                <w:color w:val="000000"/>
                <w:sz w:val="16"/>
                <w:szCs w:val="16"/>
              </w:rPr>
              <w:t>§ 4.º, da L. 8.666/93</w:t>
            </w:r>
          </w:p>
        </w:tc>
      </w:tr>
      <w:tr w:rsidR="00BA0CC5" w:rsidRPr="00BA0CC5" w:rsidTr="00BA0CC5">
        <w:trPr>
          <w:cantSplit/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t>17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t>Foi certificado pela Administração que a qualificação da contratada (firma social, nome fantasia, CNPJ, endereço, contatos) está de acordo com seus últimos atos constitutivos e que o representante da empresa possui legitimação para assinar o aditivo? (solicitar ato constitutivo consolidado atualizado)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C5" w:rsidRPr="00BA0CC5" w:rsidRDefault="00BA0CC5" w:rsidP="0057618B">
            <w:pPr>
              <w:spacing w:after="0" w:line="240" w:lineRule="auto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C5" w:rsidRPr="00BA0CC5" w:rsidRDefault="00BA0CC5" w:rsidP="0057618B">
            <w:pPr>
              <w:pStyle w:val="Textodocorpo1"/>
              <w:numPr>
                <w:ilvl w:val="0"/>
                <w:numId w:val="1"/>
              </w:numPr>
              <w:shd w:val="clear" w:color="auto" w:fill="auto"/>
              <w:spacing w:after="120" w:line="240" w:lineRule="auto"/>
              <w:ind w:left="243" w:hanging="215"/>
              <w:jc w:val="both"/>
              <w:rPr>
                <w:color w:val="000000"/>
                <w:sz w:val="16"/>
                <w:szCs w:val="16"/>
              </w:rPr>
            </w:pPr>
            <w:r w:rsidRPr="00BA0CC5">
              <w:rPr>
                <w:color w:val="000000"/>
                <w:sz w:val="16"/>
                <w:szCs w:val="16"/>
              </w:rPr>
              <w:t>Art. 104 e ss. da Lei n. 10.406/02</w:t>
            </w:r>
          </w:p>
          <w:p w:rsidR="00BA0CC5" w:rsidRPr="00BA0CC5" w:rsidRDefault="00BA0CC5" w:rsidP="0057618B">
            <w:pPr>
              <w:pStyle w:val="Textodocorpo1"/>
              <w:numPr>
                <w:ilvl w:val="0"/>
                <w:numId w:val="1"/>
              </w:numPr>
              <w:shd w:val="clear" w:color="auto" w:fill="auto"/>
              <w:spacing w:after="120" w:line="240" w:lineRule="auto"/>
              <w:ind w:left="243" w:hanging="215"/>
              <w:jc w:val="both"/>
              <w:rPr>
                <w:color w:val="000000"/>
                <w:sz w:val="16"/>
                <w:szCs w:val="16"/>
              </w:rPr>
            </w:pPr>
            <w:r w:rsidRPr="00BA0CC5">
              <w:rPr>
                <w:color w:val="000000"/>
                <w:sz w:val="16"/>
                <w:szCs w:val="16"/>
              </w:rPr>
              <w:t>Arts.. 46,  47, e 118 da Lei n. 10.406/02</w:t>
            </w:r>
          </w:p>
          <w:p w:rsidR="00BA0CC5" w:rsidRPr="00BA0CC5" w:rsidRDefault="00BA0CC5" w:rsidP="0057618B">
            <w:pPr>
              <w:pStyle w:val="Textodocorpo1"/>
              <w:shd w:val="clear" w:color="auto" w:fill="auto"/>
              <w:spacing w:after="120" w:line="240" w:lineRule="auto"/>
              <w:ind w:left="243" w:hanging="215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86238" w:rsidRDefault="00E86238">
      <w:bookmarkStart w:id="0" w:name="_GoBack"/>
      <w:bookmarkEnd w:id="0"/>
    </w:p>
    <w:p w:rsidR="00E86238" w:rsidRDefault="00E86238" w:rsidP="00E86238">
      <w:pPr>
        <w:jc w:val="center"/>
      </w:pPr>
      <w:r>
        <w:lastRenderedPageBreak/>
        <w:t>------------------------------------------------------------</w:t>
      </w:r>
    </w:p>
    <w:p w:rsidR="00E86238" w:rsidRDefault="00E86238" w:rsidP="00E86238">
      <w:pPr>
        <w:jc w:val="center"/>
      </w:pPr>
      <w:r>
        <w:t>ASSINATURA</w:t>
      </w:r>
    </w:p>
    <w:sectPr w:rsidR="00E86238" w:rsidSect="006E60B1"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FE" w:rsidRDefault="009C1EFE" w:rsidP="002D2BF4">
      <w:pPr>
        <w:spacing w:after="0" w:line="240" w:lineRule="auto"/>
      </w:pPr>
      <w:r>
        <w:separator/>
      </w:r>
    </w:p>
  </w:endnote>
  <w:endnote w:type="continuationSeparator" w:id="0">
    <w:p w:rsidR="009C1EFE" w:rsidRDefault="009C1EFE" w:rsidP="002D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FE" w:rsidRDefault="009C1EFE" w:rsidP="002D2BF4">
      <w:pPr>
        <w:spacing w:after="0" w:line="240" w:lineRule="auto"/>
      </w:pPr>
      <w:r>
        <w:separator/>
      </w:r>
    </w:p>
  </w:footnote>
  <w:footnote w:type="continuationSeparator" w:id="0">
    <w:p w:rsidR="009C1EFE" w:rsidRDefault="009C1EFE" w:rsidP="002D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3C1"/>
    <w:multiLevelType w:val="hybridMultilevel"/>
    <w:tmpl w:val="0228EF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4520"/>
    <w:multiLevelType w:val="hybridMultilevel"/>
    <w:tmpl w:val="12800D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7D9B"/>
    <w:multiLevelType w:val="hybridMultilevel"/>
    <w:tmpl w:val="DB46A63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D154397"/>
    <w:multiLevelType w:val="hybridMultilevel"/>
    <w:tmpl w:val="65F4C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4DBD"/>
    <w:multiLevelType w:val="hybridMultilevel"/>
    <w:tmpl w:val="873ED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3240"/>
    <w:multiLevelType w:val="hybridMultilevel"/>
    <w:tmpl w:val="E9A272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43259"/>
    <w:multiLevelType w:val="hybridMultilevel"/>
    <w:tmpl w:val="89004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F1"/>
    <w:rsid w:val="00023E03"/>
    <w:rsid w:val="000D5796"/>
    <w:rsid w:val="00230A19"/>
    <w:rsid w:val="002D2BF4"/>
    <w:rsid w:val="00421E4E"/>
    <w:rsid w:val="00485DEE"/>
    <w:rsid w:val="0057618B"/>
    <w:rsid w:val="005C44ED"/>
    <w:rsid w:val="006213F1"/>
    <w:rsid w:val="006E60B1"/>
    <w:rsid w:val="00745C82"/>
    <w:rsid w:val="007E6373"/>
    <w:rsid w:val="0082185B"/>
    <w:rsid w:val="008A6F3E"/>
    <w:rsid w:val="008E2AA1"/>
    <w:rsid w:val="009C1EFE"/>
    <w:rsid w:val="00A7486F"/>
    <w:rsid w:val="00BA0CC5"/>
    <w:rsid w:val="00C42790"/>
    <w:rsid w:val="00C618DF"/>
    <w:rsid w:val="00C86978"/>
    <w:rsid w:val="00CE7CBA"/>
    <w:rsid w:val="00E010D0"/>
    <w:rsid w:val="00E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E13E"/>
  <w15:docId w15:val="{FE712C86-CC17-4FCF-935C-2B6AE539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">
    <w:name w:val="Texto do corpo_"/>
    <w:link w:val="Textodocorpo1"/>
    <w:rsid w:val="00C42790"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rsid w:val="00C42790"/>
    <w:pPr>
      <w:shd w:val="clear" w:color="auto" w:fill="FFFFFF"/>
      <w:spacing w:after="0" w:line="220" w:lineRule="exact"/>
    </w:pPr>
    <w:rPr>
      <w:rFonts w:ascii="Arial Narrow" w:hAnsi="Arial Narrow" w:cs="Arial Narrow"/>
      <w:spacing w:val="-5"/>
      <w:sz w:val="17"/>
      <w:szCs w:val="17"/>
    </w:rPr>
  </w:style>
  <w:style w:type="paragraph" w:customStyle="1" w:styleId="centralizado">
    <w:name w:val="centralizado"/>
    <w:basedOn w:val="Normal"/>
    <w:rsid w:val="00C4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790"/>
    <w:rPr>
      <w:b/>
      <w:bCs/>
    </w:rPr>
  </w:style>
  <w:style w:type="character" w:styleId="Hyperlink">
    <w:name w:val="Hyperlink"/>
    <w:basedOn w:val="Fontepargpadro"/>
    <w:uiPriority w:val="99"/>
    <w:unhideWhenUsed/>
    <w:rsid w:val="00C4279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D2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BF4"/>
  </w:style>
  <w:style w:type="paragraph" w:styleId="Rodap">
    <w:name w:val="footer"/>
    <w:basedOn w:val="Normal"/>
    <w:link w:val="RodapChar"/>
    <w:uiPriority w:val="99"/>
    <w:unhideWhenUsed/>
    <w:rsid w:val="002D2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BF4"/>
  </w:style>
  <w:style w:type="paragraph" w:styleId="Textodenotaderodap">
    <w:name w:val="footnote text"/>
    <w:basedOn w:val="Normal"/>
    <w:link w:val="TextodenotaderodapChar"/>
    <w:rsid w:val="0057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761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576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76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st.dpc@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1623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Regina Fabris de Araújo Figueredo</dc:creator>
  <cp:lastModifiedBy>MARCOS FELIPE RAVAZZOLI</cp:lastModifiedBy>
  <cp:revision>12</cp:revision>
  <dcterms:created xsi:type="dcterms:W3CDTF">2022-11-17T14:37:00Z</dcterms:created>
  <dcterms:modified xsi:type="dcterms:W3CDTF">2022-11-29T17:32:00Z</dcterms:modified>
</cp:coreProperties>
</file>